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E6" w:rsidRDefault="00B504E6" w:rsidP="00B504E6">
      <w:pPr>
        <w:rPr>
          <w:rFonts w:ascii="Calibri" w:eastAsia="宋体" w:hAnsi="Calibri" w:cs="Times New Roman"/>
          <w:sz w:val="28"/>
          <w:szCs w:val="28"/>
        </w:rPr>
      </w:pPr>
      <w:r>
        <w:rPr>
          <w:rFonts w:ascii="黑体" w:eastAsia="黑体" w:hAnsi="黑体" w:cs="Times New Roman" w:hint="eastAsia"/>
          <w:sz w:val="28"/>
          <w:szCs w:val="28"/>
        </w:rPr>
        <w:t>附件</w:t>
      </w:r>
      <w:r>
        <w:rPr>
          <w:rFonts w:ascii="黑体" w:eastAsia="黑体" w:hAnsi="黑体" w:hint="eastAsia"/>
          <w:sz w:val="28"/>
          <w:szCs w:val="28"/>
        </w:rPr>
        <w:t>1</w:t>
      </w:r>
      <w:r>
        <w:rPr>
          <w:rFonts w:ascii="楷体_GB2312" w:eastAsia="楷体_GB2312" w:hAnsi="楷体_GB2312" w:cs="Times New Roman" w:hint="eastAsia"/>
          <w:sz w:val="28"/>
          <w:szCs w:val="28"/>
        </w:rPr>
        <w:t xml:space="preserve"> </w:t>
      </w:r>
      <w:r>
        <w:rPr>
          <w:rFonts w:ascii="Calibri" w:eastAsia="宋体" w:hAnsi="Calibri" w:cs="Times New Roman"/>
          <w:sz w:val="28"/>
          <w:szCs w:val="28"/>
        </w:rPr>
        <w:t xml:space="preserve">    </w:t>
      </w:r>
    </w:p>
    <w:p w:rsidR="00B504E6" w:rsidRDefault="00B504E6" w:rsidP="00B504E6">
      <w:pPr>
        <w:jc w:val="center"/>
        <w:rPr>
          <w:rFonts w:ascii="黑体" w:eastAsia="黑体" w:hAnsi="黑体" w:cs="Times New Roman"/>
          <w:sz w:val="36"/>
        </w:rPr>
      </w:pPr>
      <w:r>
        <w:rPr>
          <w:rFonts w:ascii="黑体" w:eastAsia="黑体" w:hAnsi="黑体" w:cs="Times New Roman"/>
          <w:sz w:val="36"/>
        </w:rPr>
        <w:tab/>
      </w:r>
      <w:r>
        <w:rPr>
          <w:rFonts w:ascii="黑体" w:eastAsia="黑体" w:hAnsi="黑体" w:cs="Times New Roman" w:hint="eastAsia"/>
          <w:sz w:val="36"/>
        </w:rPr>
        <w:t>2017年度质量标杆申报标准</w:t>
      </w:r>
    </w:p>
    <w:p w:rsidR="00B504E6" w:rsidRDefault="00B504E6" w:rsidP="00B504E6">
      <w:pPr>
        <w:rPr>
          <w:rFonts w:ascii="Calibri" w:eastAsia="宋体" w:hAnsi="Calibri" w:cs="Times New Roman"/>
        </w:rPr>
      </w:pPr>
      <w:r>
        <w:rPr>
          <w:rFonts w:ascii="Calibri" w:eastAsia="宋体" w:hAnsi="Calibri" w:cs="Times New Roman"/>
        </w:rPr>
        <w:tab/>
      </w:r>
    </w:p>
    <w:p w:rsidR="00B504E6" w:rsidRDefault="00B504E6" w:rsidP="00B504E6">
      <w:pPr>
        <w:ind w:firstLineChars="200" w:firstLine="640"/>
        <w:rPr>
          <w:rFonts w:ascii="黑体" w:eastAsia="黑体" w:hAnsi="黑体" w:cs="Times New Roman"/>
          <w:sz w:val="32"/>
        </w:rPr>
      </w:pPr>
      <w:r>
        <w:rPr>
          <w:rFonts w:ascii="黑体" w:eastAsia="黑体" w:hAnsi="黑体" w:cs="Times New Roman" w:hint="eastAsia"/>
          <w:sz w:val="32"/>
        </w:rPr>
        <w:t>一、申报说明</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（一）</w:t>
      </w:r>
      <w:r>
        <w:rPr>
          <w:rFonts w:ascii="仿宋_GB2312" w:eastAsia="仿宋_GB2312" w:hAnsi="宋体" w:cs="Times New Roman" w:hint="eastAsia"/>
          <w:sz w:val="32"/>
          <w:szCs w:val="32"/>
        </w:rPr>
        <w:t>质量标杆是指工业企业推广应用先进的质量管理方法和质量工程技术、开展质量管理创新活动，以提高产品实物质量、改善质量保障能力和提升经营绩效的最佳实践。</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（二）</w:t>
      </w:r>
      <w:r>
        <w:rPr>
          <w:rFonts w:ascii="仿宋_GB2312" w:eastAsia="仿宋_GB2312" w:hAnsi="宋体" w:cs="Times New Roman" w:hint="eastAsia"/>
          <w:sz w:val="32"/>
          <w:szCs w:val="32"/>
        </w:rPr>
        <w:t>2017年质量标杆的申报方向为质量管理（技术）方法、“互联网+”应用两个方向。</w:t>
      </w:r>
      <w:r>
        <w:rPr>
          <w:rFonts w:ascii="仿宋_GB2312" w:eastAsia="仿宋_GB2312" w:hAnsi="仿宋_GB2312" w:cs="Times New Roman" w:hint="eastAsia"/>
          <w:sz w:val="32"/>
        </w:rPr>
        <w:t>申报主体为：工业企业，包括信息、软件及相关技术性服务企业。</w:t>
      </w:r>
    </w:p>
    <w:p w:rsidR="00B504E6" w:rsidRDefault="00B504E6" w:rsidP="00B504E6">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Times New Roman" w:hint="eastAsia"/>
          <w:sz w:val="32"/>
        </w:rPr>
        <w:t>（三）</w:t>
      </w:r>
      <w:r>
        <w:rPr>
          <w:rFonts w:ascii="仿宋_GB2312" w:eastAsia="仿宋_GB2312" w:hAnsi="仿宋_GB2312" w:cs="仿宋_GB2312" w:hint="eastAsia"/>
          <w:sz w:val="32"/>
          <w:szCs w:val="32"/>
        </w:rPr>
        <w:t>在</w:t>
      </w:r>
      <w:r>
        <w:rPr>
          <w:rFonts w:ascii="仿宋_GB2312" w:eastAsia="仿宋_GB2312" w:hAnsi="仿宋_GB2312" w:cs="仿宋_GB2312" w:hint="eastAsia"/>
          <w:b/>
          <w:bCs/>
          <w:color w:val="070707"/>
          <w:kern w:val="0"/>
          <w:sz w:val="32"/>
          <w:szCs w:val="32"/>
        </w:rPr>
        <w:t>全面质量管理方向</w:t>
      </w:r>
      <w:r>
        <w:rPr>
          <w:rFonts w:ascii="仿宋_GB2312" w:eastAsia="仿宋_GB2312" w:hAnsi="仿宋_GB2312" w:cs="仿宋_GB2312" w:hint="eastAsia"/>
          <w:sz w:val="32"/>
          <w:szCs w:val="32"/>
        </w:rPr>
        <w:t>遴选一批在创新运用先进质量（技术）方法促进企业整体竞争力提升方面取得明显经济效益的实践经验；</w:t>
      </w:r>
      <w:r>
        <w:rPr>
          <w:rFonts w:ascii="仿宋_GB2312" w:eastAsia="仿宋_GB2312" w:hAnsi="仿宋_GB2312" w:cs="Times New Roman" w:hint="eastAsia"/>
          <w:sz w:val="32"/>
        </w:rPr>
        <w:t>着重遴选一批对于消费品生产企业提升品种、品质具有广泛适用性的质量管理（技术）方法。</w:t>
      </w:r>
      <w:r>
        <w:rPr>
          <w:rFonts w:ascii="仿宋_GB2312" w:eastAsia="仿宋_GB2312" w:hAnsi="宋体" w:cs="Times New Roman" w:hint="eastAsia"/>
          <w:sz w:val="32"/>
          <w:szCs w:val="32"/>
        </w:rPr>
        <w:t>在</w:t>
      </w:r>
      <w:r>
        <w:rPr>
          <w:rFonts w:ascii="仿宋_GB2312" w:eastAsia="仿宋_GB2312" w:hAnsi="宋体" w:cs="Times New Roman" w:hint="eastAsia"/>
          <w:b/>
          <w:bCs/>
          <w:sz w:val="32"/>
          <w:szCs w:val="32"/>
        </w:rPr>
        <w:t>“互联网+”应用方向</w:t>
      </w:r>
      <w:r>
        <w:rPr>
          <w:rFonts w:ascii="仿宋_GB2312" w:eastAsia="仿宋_GB2312" w:hAnsi="宋体" w:cs="Times New Roman" w:hint="eastAsia"/>
          <w:sz w:val="32"/>
          <w:szCs w:val="32"/>
        </w:rPr>
        <w:t>重点选择运用移动互联网、云计算、大数据及新一代信息技术，提升质量管控能力以及营销模式创新能力的有效实施案例。</w:t>
      </w:r>
    </w:p>
    <w:p w:rsidR="00B504E6" w:rsidRDefault="00B504E6" w:rsidP="00B504E6">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（四）同等条件下中小企业及西部地区工业企业优先。</w:t>
      </w:r>
    </w:p>
    <w:p w:rsidR="00B504E6" w:rsidRDefault="00B504E6" w:rsidP="00B504E6">
      <w:pPr>
        <w:ind w:firstLineChars="200" w:firstLine="640"/>
        <w:rPr>
          <w:rFonts w:ascii="黑体" w:eastAsia="黑体" w:hAnsi="黑体" w:cs="Times New Roman"/>
          <w:sz w:val="32"/>
        </w:rPr>
      </w:pPr>
      <w:r>
        <w:rPr>
          <w:rFonts w:ascii="黑体" w:eastAsia="黑体" w:hAnsi="黑体" w:cs="Times New Roman" w:hint="eastAsia"/>
          <w:sz w:val="32"/>
        </w:rPr>
        <w:t>二、基本条件</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（一）申报质量标杆的企业：近三年连续保持盈利；在诚信、质量、安全、环保等方面无违法行为和不良记录。</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（二）质量标杆所运用的主要管理方法（技术）在申报</w:t>
      </w:r>
      <w:r>
        <w:rPr>
          <w:rFonts w:ascii="仿宋_GB2312" w:eastAsia="仿宋_GB2312" w:hAnsi="仿宋_GB2312" w:cs="Times New Roman" w:hint="eastAsia"/>
          <w:sz w:val="32"/>
        </w:rPr>
        <w:lastRenderedPageBreak/>
        <w:t>单位已成功应用并取得可证实的实践效果。</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（三）申报单位承诺分享交流质量标杆典型经验。</w:t>
      </w:r>
    </w:p>
    <w:p w:rsidR="00B504E6" w:rsidRDefault="00B504E6" w:rsidP="00B504E6">
      <w:pPr>
        <w:ind w:firstLineChars="200" w:firstLine="640"/>
        <w:rPr>
          <w:rFonts w:ascii="黑体" w:eastAsia="黑体" w:hAnsi="黑体" w:cs="Times New Roman"/>
          <w:sz w:val="32"/>
        </w:rPr>
      </w:pPr>
      <w:r>
        <w:rPr>
          <w:rFonts w:ascii="黑体" w:eastAsia="黑体" w:hAnsi="黑体" w:cs="Times New Roman" w:hint="eastAsia"/>
          <w:sz w:val="32"/>
        </w:rPr>
        <w:t>三、遴选标准</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质量标杆应符合以下标准：</w:t>
      </w:r>
    </w:p>
    <w:p w:rsidR="00B504E6" w:rsidRDefault="00B504E6" w:rsidP="00B504E6">
      <w:pPr>
        <w:numPr>
          <w:ilvl w:val="0"/>
          <w:numId w:val="1"/>
        </w:num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科学性和创新性</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1. 所应用的管理方法（技术）符合普遍性认知的科学规律，符合质量管理发展趋势。</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2. 在管理方法（技术）本身或（和）应用过程中有创新性经验（成果）。</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3. 所提炼的典型经验是成功应用该管理方法（技术）的核心内容，且逻辑清晰，内容完整。</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（二）系统性和示范性</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1. 典型经验应展示管理方法（技术）如何得到系统性应用。包括相关的组织管理、政策制度、资源保障和实施过程等。</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2. 典型经验应对关键环节重点说明，包括从中获得的经验或教训，以增强典型经验的示范性。</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（三）显效性和发展性</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1. 有证据表明，通过应用该管理方法（技术），企业的质量水平得到提升。鼓励通过数据说明在实物质量、运行效率、品牌竞争力或效益水平等方面的进步。</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2. 有证据表明，该管理方法（技术）将继续得到应用，</w:t>
      </w:r>
      <w:r>
        <w:rPr>
          <w:rFonts w:ascii="仿宋_GB2312" w:eastAsia="仿宋_GB2312" w:hAnsi="仿宋_GB2312" w:cs="Times New Roman" w:hint="eastAsia"/>
          <w:sz w:val="32"/>
        </w:rPr>
        <w:lastRenderedPageBreak/>
        <w:t>并将持续发挥效果。</w:t>
      </w:r>
    </w:p>
    <w:p w:rsidR="00B504E6" w:rsidRDefault="00B504E6" w:rsidP="00B504E6">
      <w:pPr>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3. 有证据表明，应用信息化、智能化和“互联网+”理念提升企业质量管控能力的典型经验（技术）在同行业应具有广泛适用性和可推广前景。</w:t>
      </w:r>
    </w:p>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Default="00B504E6" w:rsidP="00B504E6"/>
    <w:p w:rsidR="00B504E6" w:rsidRPr="00A87C4B" w:rsidRDefault="00B504E6" w:rsidP="00B504E6">
      <w:pPr>
        <w:rPr>
          <w:rFonts w:ascii="黑体" w:eastAsia="黑体" w:hAnsi="黑体" w:cs="楷体_GB2312"/>
          <w:sz w:val="28"/>
          <w:szCs w:val="28"/>
        </w:rPr>
      </w:pPr>
      <w:r w:rsidRPr="00A87C4B">
        <w:rPr>
          <w:rFonts w:ascii="黑体" w:eastAsia="黑体" w:hAnsi="黑体" w:cs="楷体_GB2312" w:hint="eastAsia"/>
          <w:sz w:val="28"/>
          <w:szCs w:val="28"/>
        </w:rPr>
        <w:lastRenderedPageBreak/>
        <w:t>附件</w:t>
      </w:r>
      <w:r>
        <w:rPr>
          <w:rFonts w:ascii="黑体" w:eastAsia="黑体" w:hAnsi="黑体" w:cs="楷体_GB2312" w:hint="eastAsia"/>
          <w:sz w:val="28"/>
          <w:szCs w:val="28"/>
        </w:rPr>
        <w:t>2</w:t>
      </w:r>
    </w:p>
    <w:p w:rsidR="00B504E6" w:rsidRDefault="00B504E6" w:rsidP="00B504E6">
      <w:pPr>
        <w:widowControl/>
        <w:ind w:firstLineChars="200" w:firstLine="720"/>
        <w:jc w:val="center"/>
        <w:rPr>
          <w:rFonts w:ascii="楷体_GB2312" w:hAnsi="楷体"/>
          <w:kern w:val="0"/>
          <w:sz w:val="28"/>
          <w:szCs w:val="28"/>
          <w:highlight w:val="yellow"/>
        </w:rPr>
      </w:pPr>
      <w:r>
        <w:rPr>
          <w:rFonts w:ascii="黑体" w:eastAsia="黑体" w:hAnsi="宋体" w:hint="eastAsia"/>
          <w:sz w:val="36"/>
          <w:szCs w:val="36"/>
        </w:rPr>
        <w:t>质量标杆总结材料编写说明</w:t>
      </w:r>
    </w:p>
    <w:p w:rsidR="00B504E6" w:rsidRDefault="00B504E6" w:rsidP="00B504E6">
      <w:pPr>
        <w:widowControl/>
        <w:rPr>
          <w:rFonts w:ascii="黑体" w:eastAsia="黑体" w:hAnsi="楷体"/>
          <w:sz w:val="28"/>
          <w:szCs w:val="28"/>
        </w:rPr>
      </w:pPr>
    </w:p>
    <w:p w:rsidR="00B504E6" w:rsidRDefault="00B504E6" w:rsidP="00B504E6">
      <w:pPr>
        <w:widowControl/>
        <w:ind w:firstLineChars="200" w:firstLine="640"/>
        <w:rPr>
          <w:rFonts w:ascii="黑体" w:eastAsia="黑体" w:hAnsi="楷体"/>
          <w:sz w:val="32"/>
          <w:szCs w:val="32"/>
        </w:rPr>
      </w:pPr>
      <w:r>
        <w:rPr>
          <w:rFonts w:ascii="黑体" w:eastAsia="黑体" w:hAnsi="楷体" w:hint="eastAsia"/>
          <w:sz w:val="32"/>
          <w:szCs w:val="32"/>
        </w:rPr>
        <w:t>一、总结材料内容</w:t>
      </w:r>
    </w:p>
    <w:p w:rsidR="00B504E6" w:rsidRDefault="00B504E6" w:rsidP="00B504E6">
      <w:pPr>
        <w:widowControl/>
        <w:snapToGrid w:val="0"/>
        <w:spacing w:line="360" w:lineRule="auto"/>
        <w:ind w:firstLine="562"/>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（一）质量标杆名称（20字以内）</w:t>
      </w:r>
    </w:p>
    <w:p w:rsidR="00B504E6" w:rsidRDefault="00B504E6" w:rsidP="00B504E6">
      <w:pPr>
        <w:widowControl/>
        <w:snapToGrid w:val="0"/>
        <w:spacing w:line="360" w:lineRule="auto"/>
        <w:ind w:firstLine="560"/>
        <w:rPr>
          <w:rFonts w:ascii="仿宋_GB2312" w:eastAsia="仿宋_GB2312" w:hAnsi="楷体"/>
          <w:kern w:val="0"/>
          <w:sz w:val="32"/>
          <w:szCs w:val="32"/>
        </w:rPr>
      </w:pPr>
      <w:r>
        <w:rPr>
          <w:rFonts w:ascii="仿宋_GB2312" w:eastAsia="仿宋_GB2312" w:hAnsi="楷体" w:hint="eastAsia"/>
          <w:kern w:val="0"/>
          <w:sz w:val="32"/>
          <w:szCs w:val="32"/>
        </w:rPr>
        <w:t>质量标杆名称应体现典型经验的特征。命名规则为：（企业）+（</w:t>
      </w:r>
      <w:r>
        <w:rPr>
          <w:rFonts w:ascii="仿宋_GB2312" w:eastAsia="仿宋_GB2312" w:hAnsi="楷体" w:hint="eastAsia"/>
          <w:sz w:val="32"/>
          <w:szCs w:val="32"/>
        </w:rPr>
        <w:t>典型方法技术）+（</w:t>
      </w:r>
      <w:r>
        <w:rPr>
          <w:rFonts w:ascii="仿宋_GB2312" w:eastAsia="仿宋_GB2312" w:hAnsi="楷体" w:hint="eastAsia"/>
          <w:kern w:val="0"/>
          <w:sz w:val="32"/>
          <w:szCs w:val="32"/>
        </w:rPr>
        <w:t>经验）。如：××集团公司实施六西格玛设计的经验。</w:t>
      </w:r>
    </w:p>
    <w:p w:rsidR="00B504E6" w:rsidRDefault="00B504E6" w:rsidP="00B504E6">
      <w:pPr>
        <w:widowControl/>
        <w:snapToGrid w:val="0"/>
        <w:spacing w:line="360" w:lineRule="auto"/>
        <w:ind w:firstLine="562"/>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（二）摘要（500字以内）</w:t>
      </w:r>
    </w:p>
    <w:p w:rsidR="00B504E6" w:rsidRDefault="00B504E6" w:rsidP="00B504E6">
      <w:pPr>
        <w:widowControl/>
        <w:snapToGrid w:val="0"/>
        <w:spacing w:line="360" w:lineRule="auto"/>
        <w:ind w:firstLine="562"/>
        <w:rPr>
          <w:rFonts w:ascii="楷体_GB2312" w:eastAsia="楷体_GB2312" w:hAnsi="楷体_GB2312" w:cs="楷体_GB2312"/>
          <w:b/>
          <w:bCs/>
          <w:kern w:val="0"/>
          <w:sz w:val="32"/>
          <w:szCs w:val="32"/>
        </w:rPr>
      </w:pPr>
      <w:r>
        <w:rPr>
          <w:rFonts w:ascii="仿宋_GB2312" w:eastAsia="仿宋_GB2312" w:hAnsi="楷体" w:cs="宋体" w:hint="eastAsia"/>
          <w:color w:val="000000"/>
          <w:kern w:val="0"/>
          <w:sz w:val="32"/>
          <w:szCs w:val="32"/>
        </w:rPr>
        <w:t>简要介绍质量标杆的主要管理技术方法、推进过程以及主要成果和社会效果。</w:t>
      </w:r>
    </w:p>
    <w:p w:rsidR="00B504E6" w:rsidRDefault="00B504E6" w:rsidP="00B504E6">
      <w:pPr>
        <w:widowControl/>
        <w:snapToGrid w:val="0"/>
        <w:spacing w:line="360" w:lineRule="auto"/>
        <w:ind w:firstLine="562"/>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（三）企业概况（1000字以内）</w:t>
      </w:r>
    </w:p>
    <w:p w:rsidR="00B504E6" w:rsidRDefault="00B504E6" w:rsidP="00B504E6">
      <w:pPr>
        <w:widowControl/>
        <w:snapToGrid w:val="0"/>
        <w:spacing w:line="360" w:lineRule="auto"/>
        <w:ind w:firstLineChars="200" w:firstLine="640"/>
        <w:jc w:val="left"/>
        <w:rPr>
          <w:rFonts w:ascii="仿宋_GB2312" w:eastAsia="仿宋_GB2312" w:hAnsi="楷体" w:cs="宋体"/>
          <w:color w:val="000000"/>
          <w:kern w:val="0"/>
          <w:sz w:val="32"/>
          <w:szCs w:val="32"/>
        </w:rPr>
      </w:pPr>
      <w:r>
        <w:rPr>
          <w:rFonts w:ascii="仿宋_GB2312" w:eastAsia="仿宋_GB2312" w:hAnsi="楷体" w:cs="宋体" w:hint="eastAsia"/>
          <w:color w:val="000000"/>
          <w:kern w:val="0"/>
          <w:sz w:val="32"/>
          <w:szCs w:val="32"/>
        </w:rPr>
        <w:t>企业：应说明企业起源，历史沿革；主要业务范围，主要产品和服务；企业文化特色，组织的使命、愿景和价值观；企业资源状况，包括人力、技术、信息和知识、基础设施、供应商和客户；企业的社会责任状况等。</w:t>
      </w:r>
    </w:p>
    <w:p w:rsidR="00B504E6" w:rsidRDefault="00B504E6" w:rsidP="00B504E6">
      <w:pPr>
        <w:widowControl/>
        <w:snapToGrid w:val="0"/>
        <w:spacing w:line="360" w:lineRule="auto"/>
        <w:ind w:firstLine="562"/>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（四）应用该管理方法（技术）的背景（1000字以内）</w:t>
      </w:r>
    </w:p>
    <w:p w:rsidR="00B504E6" w:rsidRDefault="00B504E6" w:rsidP="00B504E6">
      <w:pPr>
        <w:widowControl/>
        <w:snapToGrid w:val="0"/>
        <w:spacing w:line="360" w:lineRule="auto"/>
        <w:ind w:firstLineChars="200" w:firstLine="640"/>
        <w:jc w:val="left"/>
        <w:rPr>
          <w:rFonts w:ascii="仿宋_GB2312" w:eastAsia="仿宋_GB2312" w:hAnsi="楷体" w:cs="宋体"/>
          <w:color w:val="000000"/>
          <w:kern w:val="0"/>
          <w:sz w:val="32"/>
          <w:szCs w:val="32"/>
        </w:rPr>
      </w:pPr>
      <w:r>
        <w:rPr>
          <w:rFonts w:ascii="仿宋_GB2312" w:eastAsia="仿宋_GB2312" w:hAnsi="楷体" w:cs="宋体" w:hint="eastAsia"/>
          <w:color w:val="000000"/>
          <w:kern w:val="0"/>
          <w:sz w:val="32"/>
          <w:szCs w:val="32"/>
        </w:rPr>
        <w:lastRenderedPageBreak/>
        <w:t>如何为解决企业存在的主要问题，根据内外部环境的变化，确定并实施了该质量品牌管理方法（技术）。</w:t>
      </w:r>
    </w:p>
    <w:p w:rsidR="00B504E6" w:rsidRDefault="00B504E6" w:rsidP="00B504E6">
      <w:pPr>
        <w:widowControl/>
        <w:snapToGrid w:val="0"/>
        <w:spacing w:line="360" w:lineRule="auto"/>
        <w:ind w:firstLine="562"/>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（五）管理方法（技术）的综述（3000字以内）</w:t>
      </w:r>
    </w:p>
    <w:p w:rsidR="00B504E6" w:rsidRDefault="00B504E6" w:rsidP="00B504E6">
      <w:pPr>
        <w:widowControl/>
        <w:snapToGrid w:val="0"/>
        <w:spacing w:line="360" w:lineRule="auto"/>
        <w:ind w:firstLineChars="200" w:firstLine="640"/>
        <w:jc w:val="left"/>
        <w:rPr>
          <w:rFonts w:ascii="仿宋_GB2312" w:eastAsia="仿宋_GB2312" w:hAnsi="楷体" w:cs="宋体"/>
          <w:color w:val="000000"/>
          <w:kern w:val="0"/>
          <w:sz w:val="32"/>
          <w:szCs w:val="32"/>
        </w:rPr>
      </w:pPr>
      <w:r>
        <w:rPr>
          <w:rFonts w:ascii="仿宋_GB2312" w:eastAsia="仿宋_GB2312" w:hAnsi="楷体" w:cs="宋体" w:hint="eastAsia"/>
          <w:color w:val="000000"/>
          <w:kern w:val="0"/>
          <w:sz w:val="32"/>
          <w:szCs w:val="32"/>
        </w:rPr>
        <w:t>企业应用质量品牌管理方法（技术）的要点及创新点综述。包括对该管理方法（技术）的解读。</w:t>
      </w:r>
    </w:p>
    <w:p w:rsidR="00B504E6" w:rsidRDefault="00B504E6" w:rsidP="00B504E6">
      <w:pPr>
        <w:widowControl/>
        <w:snapToGrid w:val="0"/>
        <w:spacing w:line="360" w:lineRule="auto"/>
        <w:ind w:firstLine="562"/>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（六）管理方法（技术）的实施与运行（4000字以内）</w:t>
      </w:r>
    </w:p>
    <w:p w:rsidR="00B504E6" w:rsidRDefault="00B504E6" w:rsidP="00B504E6">
      <w:pPr>
        <w:widowControl/>
        <w:snapToGrid w:val="0"/>
        <w:spacing w:line="360" w:lineRule="auto"/>
        <w:ind w:firstLineChars="200" w:firstLine="640"/>
        <w:jc w:val="left"/>
        <w:rPr>
          <w:rFonts w:ascii="仿宋_GB2312" w:eastAsia="仿宋_GB2312" w:hAnsi="楷体" w:cs="宋体"/>
          <w:color w:val="000000"/>
          <w:kern w:val="0"/>
          <w:sz w:val="32"/>
          <w:szCs w:val="32"/>
        </w:rPr>
      </w:pPr>
      <w:r>
        <w:rPr>
          <w:rFonts w:ascii="仿宋_GB2312" w:eastAsia="仿宋_GB2312" w:hAnsi="楷体" w:cs="宋体" w:hint="eastAsia"/>
          <w:color w:val="000000"/>
          <w:kern w:val="0"/>
          <w:sz w:val="32"/>
          <w:szCs w:val="32"/>
        </w:rPr>
        <w:t>企业推进管理方法（技术）的步骤、过程、制度、体制、机制，做法和内容等。前后衔接、自成体系，体现可操作性。适当举例。</w:t>
      </w:r>
    </w:p>
    <w:p w:rsidR="00B504E6" w:rsidRDefault="00B504E6" w:rsidP="00B504E6">
      <w:pPr>
        <w:widowControl/>
        <w:snapToGrid w:val="0"/>
        <w:spacing w:line="360" w:lineRule="auto"/>
        <w:ind w:firstLineChars="200" w:firstLine="640"/>
        <w:jc w:val="left"/>
        <w:rPr>
          <w:rFonts w:ascii="楷体_GB2312" w:hAnsi="楷体" w:cs="宋体"/>
          <w:color w:val="000000"/>
          <w:kern w:val="0"/>
          <w:sz w:val="32"/>
          <w:szCs w:val="32"/>
        </w:rPr>
      </w:pPr>
      <w:r>
        <w:rPr>
          <w:rFonts w:ascii="楷体_GB2312" w:eastAsia="楷体_GB2312" w:hAnsi="楷体_GB2312" w:cs="楷体_GB2312" w:hint="eastAsia"/>
          <w:b/>
          <w:bCs/>
          <w:kern w:val="0"/>
          <w:sz w:val="32"/>
          <w:szCs w:val="32"/>
        </w:rPr>
        <w:t>（七）管理方法（技术）的实施效果（2000字以内）</w:t>
      </w:r>
    </w:p>
    <w:p w:rsidR="00B504E6" w:rsidRDefault="00B504E6" w:rsidP="00B504E6">
      <w:pPr>
        <w:widowControl/>
        <w:snapToGrid w:val="0"/>
        <w:spacing w:line="360" w:lineRule="auto"/>
        <w:ind w:firstLineChars="200" w:firstLine="640"/>
        <w:jc w:val="left"/>
        <w:rPr>
          <w:rFonts w:ascii="楷体" w:eastAsia="楷体" w:hAnsi="楷体" w:cs="宋体"/>
          <w:color w:val="000000"/>
          <w:kern w:val="0"/>
          <w:sz w:val="32"/>
          <w:szCs w:val="32"/>
        </w:rPr>
      </w:pPr>
      <w:r>
        <w:rPr>
          <w:rFonts w:ascii="仿宋_GB2312" w:eastAsia="仿宋_GB2312" w:hAnsi="楷体" w:cs="宋体" w:hint="eastAsia"/>
          <w:color w:val="000000"/>
          <w:kern w:val="0"/>
          <w:sz w:val="32"/>
          <w:szCs w:val="32"/>
        </w:rPr>
        <w:t>定量数据与定性指标相结合、经济效益与社会效益相结合地说明应用效果。</w:t>
      </w:r>
    </w:p>
    <w:p w:rsidR="00B504E6" w:rsidRDefault="00B504E6" w:rsidP="00B504E6">
      <w:pPr>
        <w:widowControl/>
        <w:snapToGrid w:val="0"/>
        <w:spacing w:line="360" w:lineRule="auto"/>
        <w:ind w:firstLine="562"/>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（八）管理方法（技术）的深化与推广（1000字以内）</w:t>
      </w:r>
    </w:p>
    <w:p w:rsidR="00B504E6" w:rsidRDefault="00B504E6" w:rsidP="00B504E6">
      <w:pPr>
        <w:widowControl/>
        <w:snapToGrid w:val="0"/>
        <w:spacing w:line="360" w:lineRule="auto"/>
        <w:ind w:firstLineChars="200" w:firstLine="640"/>
        <w:jc w:val="left"/>
        <w:rPr>
          <w:rFonts w:ascii="仿宋_GB2312" w:eastAsia="仿宋_GB2312" w:hAnsi="楷体" w:cs="宋体"/>
          <w:color w:val="000000"/>
          <w:kern w:val="0"/>
          <w:sz w:val="32"/>
          <w:szCs w:val="32"/>
        </w:rPr>
      </w:pPr>
      <w:r>
        <w:rPr>
          <w:rFonts w:ascii="仿宋_GB2312" w:eastAsia="仿宋_GB2312" w:hAnsi="楷体" w:cs="宋体" w:hint="eastAsia"/>
          <w:color w:val="000000"/>
          <w:kern w:val="0"/>
          <w:sz w:val="32"/>
          <w:szCs w:val="32"/>
        </w:rPr>
        <w:t>深化和拓展应用该管理方法（技术）的长远计划，创新和开发特色管理模式的设想，对外交流和分享经验的思考等。</w:t>
      </w:r>
    </w:p>
    <w:p w:rsidR="00B504E6" w:rsidRDefault="00B504E6" w:rsidP="00B504E6">
      <w:pPr>
        <w:widowControl/>
        <w:ind w:firstLineChars="200" w:firstLine="640"/>
        <w:rPr>
          <w:rFonts w:ascii="黑体" w:eastAsia="黑体" w:hAnsi="楷体"/>
          <w:sz w:val="32"/>
          <w:szCs w:val="32"/>
        </w:rPr>
      </w:pPr>
      <w:r>
        <w:rPr>
          <w:rFonts w:ascii="黑体" w:eastAsia="黑体" w:hAnsi="楷体" w:hint="eastAsia"/>
          <w:sz w:val="32"/>
          <w:szCs w:val="32"/>
        </w:rPr>
        <w:t>二、证实性材料内容（选择提供）</w:t>
      </w:r>
    </w:p>
    <w:p w:rsidR="00B504E6" w:rsidRDefault="00B504E6" w:rsidP="00B504E6">
      <w:pPr>
        <w:widowControl/>
        <w:snapToGrid w:val="0"/>
        <w:spacing w:line="360" w:lineRule="auto"/>
        <w:ind w:firstLineChars="200" w:firstLine="640"/>
        <w:jc w:val="left"/>
        <w:rPr>
          <w:rFonts w:ascii="仿宋_GB2312" w:eastAsia="仿宋_GB2312" w:hAnsi="楷体" w:cs="宋体"/>
          <w:color w:val="000000"/>
          <w:kern w:val="0"/>
          <w:sz w:val="32"/>
          <w:szCs w:val="32"/>
        </w:rPr>
      </w:pPr>
      <w:r>
        <w:rPr>
          <w:rFonts w:ascii="仿宋_GB2312" w:eastAsia="仿宋_GB2312" w:hAnsi="楷体" w:cs="宋体" w:hint="eastAsia"/>
          <w:color w:val="000000"/>
          <w:kern w:val="0"/>
          <w:sz w:val="32"/>
          <w:szCs w:val="32"/>
        </w:rPr>
        <w:t>1. 组织合法经营的证明；</w:t>
      </w:r>
    </w:p>
    <w:p w:rsidR="00B504E6" w:rsidRDefault="00B504E6" w:rsidP="00B504E6">
      <w:pPr>
        <w:widowControl/>
        <w:snapToGrid w:val="0"/>
        <w:spacing w:line="360" w:lineRule="auto"/>
        <w:ind w:firstLineChars="200" w:firstLine="640"/>
        <w:jc w:val="left"/>
        <w:rPr>
          <w:rFonts w:ascii="仿宋_GB2312" w:eastAsia="仿宋_GB2312" w:hAnsi="楷体" w:cs="宋体"/>
          <w:color w:val="000000"/>
          <w:kern w:val="0"/>
          <w:sz w:val="32"/>
          <w:szCs w:val="32"/>
        </w:rPr>
      </w:pPr>
      <w:r>
        <w:rPr>
          <w:rFonts w:ascii="仿宋_GB2312" w:eastAsia="仿宋_GB2312" w:hAnsi="楷体" w:cs="宋体" w:hint="eastAsia"/>
          <w:color w:val="000000"/>
          <w:kern w:val="0"/>
          <w:sz w:val="32"/>
          <w:szCs w:val="32"/>
        </w:rPr>
        <w:lastRenderedPageBreak/>
        <w:t>2. 近三年获得国家、省部级以上质量品牌荣誉证书复印件；</w:t>
      </w:r>
    </w:p>
    <w:p w:rsidR="00B504E6" w:rsidRDefault="00B504E6" w:rsidP="00B504E6">
      <w:pPr>
        <w:widowControl/>
        <w:snapToGrid w:val="0"/>
        <w:spacing w:line="360" w:lineRule="auto"/>
        <w:ind w:firstLineChars="200" w:firstLine="640"/>
        <w:jc w:val="left"/>
        <w:rPr>
          <w:rFonts w:ascii="仿宋_GB2312" w:eastAsia="仿宋_GB2312" w:hAnsi="楷体" w:cs="宋体"/>
          <w:color w:val="000000"/>
          <w:kern w:val="0"/>
          <w:sz w:val="32"/>
          <w:szCs w:val="32"/>
        </w:rPr>
      </w:pPr>
      <w:r>
        <w:rPr>
          <w:rFonts w:ascii="仿宋_GB2312" w:eastAsia="仿宋_GB2312" w:hAnsi="楷体" w:cs="宋体" w:hint="eastAsia"/>
          <w:color w:val="000000"/>
          <w:kern w:val="0"/>
          <w:sz w:val="32"/>
          <w:szCs w:val="32"/>
        </w:rPr>
        <w:t>3. 单位认为还应提供的其他证实性材料等。</w:t>
      </w:r>
    </w:p>
    <w:p w:rsidR="00B504E6" w:rsidRDefault="00B504E6" w:rsidP="00B504E6">
      <w:pPr>
        <w:widowControl/>
        <w:ind w:firstLineChars="200" w:firstLine="640"/>
        <w:rPr>
          <w:rFonts w:ascii="黑体" w:eastAsia="黑体" w:hAnsi="楷体"/>
          <w:sz w:val="32"/>
          <w:szCs w:val="32"/>
        </w:rPr>
      </w:pPr>
      <w:r>
        <w:rPr>
          <w:rFonts w:ascii="黑体" w:eastAsia="黑体" w:hAnsi="楷体" w:hint="eastAsia"/>
          <w:sz w:val="32"/>
          <w:szCs w:val="32"/>
        </w:rPr>
        <w:t>三、总结材料的格式要求</w:t>
      </w:r>
    </w:p>
    <w:p w:rsidR="00B504E6" w:rsidRDefault="00B504E6" w:rsidP="00B504E6">
      <w:pPr>
        <w:widowControl/>
        <w:spacing w:line="375" w:lineRule="atLeast"/>
        <w:ind w:firstLine="560"/>
        <w:jc w:val="left"/>
        <w:rPr>
          <w:rFonts w:ascii="仿宋_GB2312" w:eastAsia="仿宋_GB2312" w:hAnsi="楷体"/>
          <w:sz w:val="32"/>
          <w:szCs w:val="32"/>
        </w:rPr>
      </w:pPr>
      <w:r>
        <w:rPr>
          <w:rFonts w:ascii="仿宋_GB2312" w:eastAsia="仿宋_GB2312" w:hAnsi="楷体" w:hint="eastAsia"/>
          <w:kern w:val="0"/>
          <w:sz w:val="32"/>
          <w:szCs w:val="32"/>
        </w:rPr>
        <w:t>质量标杆典型经验总结材料（以下简称总结材料）应突出主题事项，体现典型经验的理论观点、方法特点、实践要点以及效果亮点，编写</w:t>
      </w:r>
      <w:r>
        <w:rPr>
          <w:rFonts w:ascii="仿宋_GB2312" w:eastAsia="仿宋_GB2312" w:hAnsi="楷体" w:hint="eastAsia"/>
          <w:sz w:val="32"/>
          <w:szCs w:val="32"/>
        </w:rPr>
        <w:t>内容应详实、言之有物，逻辑清楚、重点突出、图文并茂，具有较强的可借鉴性。</w:t>
      </w:r>
    </w:p>
    <w:p w:rsidR="00B504E6" w:rsidRDefault="00B504E6" w:rsidP="00B504E6">
      <w:pPr>
        <w:widowControl/>
        <w:spacing w:line="375" w:lineRule="atLeast"/>
        <w:jc w:val="left"/>
        <w:rPr>
          <w:rFonts w:ascii="仿宋_GB2312" w:eastAsia="仿宋_GB2312" w:hAnsi="楷体"/>
          <w:sz w:val="32"/>
          <w:szCs w:val="32"/>
        </w:rPr>
      </w:pPr>
      <w:r>
        <w:rPr>
          <w:rFonts w:ascii="仿宋_GB2312" w:eastAsia="仿宋_GB2312" w:hAnsi="楷体" w:hint="eastAsia"/>
          <w:sz w:val="28"/>
          <w:szCs w:val="28"/>
        </w:rPr>
        <w:t xml:space="preserve">    </w:t>
      </w:r>
      <w:r>
        <w:rPr>
          <w:rFonts w:ascii="仿宋_GB2312" w:eastAsia="仿宋_GB2312" w:hAnsi="楷体" w:hint="eastAsia"/>
          <w:sz w:val="32"/>
          <w:szCs w:val="32"/>
        </w:rPr>
        <w:t>总结材料应采用A4幅面纵向编辑。文章标题为黑体小二号居中，“摘要”二字宋体四号字居中加粗，摘要及正文均为宋体小四号字，单倍行距。附表标题放置附表上方居中，插图标题放置插图下方居中,图表按类别统一编号，附表及插图标题为宋体五号字加粗。</w:t>
      </w:r>
    </w:p>
    <w:p w:rsidR="00B504E6" w:rsidRPr="00B504E6" w:rsidRDefault="00B504E6" w:rsidP="00B504E6">
      <w:pPr>
        <w:widowControl/>
        <w:spacing w:line="375" w:lineRule="atLeast"/>
        <w:ind w:firstLine="560"/>
        <w:jc w:val="left"/>
        <w:rPr>
          <w:rFonts w:asciiTheme="minorEastAsia" w:hAnsiTheme="minorEastAsia"/>
          <w:sz w:val="30"/>
          <w:szCs w:val="30"/>
        </w:rPr>
      </w:pPr>
      <w:r>
        <w:rPr>
          <w:rFonts w:ascii="仿宋_GB2312" w:eastAsia="仿宋_GB2312" w:hAnsi="楷体" w:hint="eastAsia"/>
          <w:sz w:val="32"/>
          <w:szCs w:val="32"/>
        </w:rPr>
        <w:t>总结材料的格式模板请查询“全国工业企业质量标杆服务平台”（http://www.qmb.org.cn）</w:t>
      </w:r>
    </w:p>
    <w:sectPr w:rsidR="00B504E6" w:rsidRPr="00B504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AF0" w:rsidRDefault="00744AF0" w:rsidP="00B504E6">
      <w:r>
        <w:separator/>
      </w:r>
    </w:p>
  </w:endnote>
  <w:endnote w:type="continuationSeparator" w:id="1">
    <w:p w:rsidR="00744AF0" w:rsidRDefault="00744AF0" w:rsidP="00B50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AF0" w:rsidRDefault="00744AF0" w:rsidP="00B504E6">
      <w:r>
        <w:separator/>
      </w:r>
    </w:p>
  </w:footnote>
  <w:footnote w:type="continuationSeparator" w:id="1">
    <w:p w:rsidR="00744AF0" w:rsidRDefault="00744AF0" w:rsidP="00B50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04E6"/>
    <w:rsid w:val="00744AF0"/>
    <w:rsid w:val="00B50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0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04E6"/>
    <w:rPr>
      <w:sz w:val="18"/>
      <w:szCs w:val="18"/>
    </w:rPr>
  </w:style>
  <w:style w:type="paragraph" w:styleId="a4">
    <w:name w:val="footer"/>
    <w:basedOn w:val="a"/>
    <w:link w:val="Char0"/>
    <w:uiPriority w:val="99"/>
    <w:semiHidden/>
    <w:unhideWhenUsed/>
    <w:rsid w:val="00B504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04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2017-07-05T06:10:00Z</dcterms:created>
  <dcterms:modified xsi:type="dcterms:W3CDTF">2017-07-05T06:11:00Z</dcterms:modified>
</cp:coreProperties>
</file>